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513341"/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15"/>
        <w:gridCol w:w="3067"/>
        <w:gridCol w:w="3156"/>
      </w:tblGrid>
      <w:tr w:rsidR="0052063A" w:rsidRPr="00925C4F" w:rsidTr="00B14C73">
        <w:tc>
          <w:tcPr>
            <w:tcW w:w="3681" w:type="dxa"/>
          </w:tcPr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52063A" w:rsidRPr="00B73AEE" w:rsidRDefault="00B14C7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</w:t>
            </w:r>
            <w:r w:rsidR="00B010C3"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25C4F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25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 w:rsidR="00655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063A" w:rsidRPr="00B73AEE" w:rsidRDefault="0052063A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52063A" w:rsidRPr="00B73AEE" w:rsidRDefault="00B14C7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B010C3"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от «</w:t>
            </w:r>
            <w:r w:rsidR="00925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 w:rsidR="00655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063A" w:rsidRPr="00B73AEE" w:rsidRDefault="0052063A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52063A" w:rsidRPr="00B73AEE" w:rsidRDefault="00B14C7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</w:p>
          <w:p w:rsidR="0052063A" w:rsidRPr="00B73AEE" w:rsidRDefault="00B14C7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925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925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655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010C3"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2063A" w:rsidRPr="00B73AEE" w:rsidRDefault="0052063A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АДАПТИРОВАННАЯ </w:t>
      </w:r>
      <w:r w:rsidR="00B010C3"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30F3C" w:rsidRPr="00B14C73" w:rsidRDefault="00720EC6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(слабослышащие</w:t>
      </w:r>
      <w:r w:rsidR="00B14C73" w:rsidRPr="00B14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«История»</w:t>
      </w:r>
    </w:p>
    <w:p w:rsidR="00F30F3C" w:rsidRPr="00B73AEE" w:rsidRDefault="00B010C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Pr="00B73AEE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9"/>
        <w:gridCol w:w="2929"/>
      </w:tblGrid>
      <w:tr w:rsidR="00B14C73" w:rsidTr="00B14C73">
        <w:tc>
          <w:tcPr>
            <w:tcW w:w="7388" w:type="dxa"/>
          </w:tcPr>
          <w:p w:rsidR="00B14C73" w:rsidRDefault="00B14C73" w:rsidP="00B73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54" w:type="dxa"/>
          </w:tcPr>
          <w:p w:rsidR="00B14C73" w:rsidRPr="00B73AEE" w:rsidRDefault="00B14C73" w:rsidP="00B14C73">
            <w:pPr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14C73" w:rsidRDefault="00B14C73" w:rsidP="00B73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14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f4f51048-cb84-4c82-af6a-284ffbd4033b"/>
    </w:p>
    <w:p w:rsidR="00B14C73" w:rsidRDefault="00B14C73" w:rsidP="00B14C7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25C4F" w:rsidRDefault="00925C4F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C4F" w:rsidRDefault="00925C4F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C4F" w:rsidRDefault="00925C4F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C4F" w:rsidRDefault="00925C4F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20EC6" w:rsidRDefault="00720EC6" w:rsidP="00B14C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2513346"/>
      <w:bookmarkEnd w:id="0"/>
      <w:bookmarkEnd w:id="1"/>
    </w:p>
    <w:p w:rsidR="00720EC6" w:rsidRDefault="00720EC6" w:rsidP="00B14C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20EC6" w:rsidRDefault="00720EC6" w:rsidP="00B14C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20EC6" w:rsidRDefault="00720EC6" w:rsidP="00B14C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20EC6" w:rsidRDefault="00720EC6" w:rsidP="00B14C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20EC6" w:rsidRDefault="00720EC6" w:rsidP="00B14C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20EC6" w:rsidRDefault="00720EC6" w:rsidP="00B14C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30F3C" w:rsidRPr="00B73AEE" w:rsidRDefault="00B010C3" w:rsidP="00B14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Древнего Египта (архитектура, рельефы, фрески).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Ассирия. Завоевания ассирийцев.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сильной державы. Культурные сокровища Ниневии. Гибель империи.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Индию. Держава Маурьев. Государство Гуптов. Общественное устройство, варны.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верования древних индийцев. Легенды и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Древняя Греция. </w:t>
      </w:r>
      <w:r w:rsidRPr="005206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Эллинизм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греко-персидских войн.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Эллинистические государства Востока. Культура эллинистического мира.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Александрия Египетская.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Легенды об основании Рима. Рим эпохи царей.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Верования древних римлян. Боги. Жрецы. Завоевание Римом Италии.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господства Рима в Средиземноморье. Римские провинции.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Восстание Спартака. Участие армии в гражданских войнах.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Завоевание франками Галлии. Хлодвиг. Усиление королевской власти.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 правда. Принятие франками христианства.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Карл Мартелл и его военная реформа.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Карла Великого. Управление империей.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«Каролингское возрождение». Верденский раздел, его причины и значение.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Христианизация Европы. Светские правители и папы.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 книжное дело.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(архитектура, мозаика, фреска, иконопись).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арабов.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Ж. Д’Арк. Священная Римская империя в 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Константинополя.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Скифское царство в Крыму. Дербент.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при Ярославичах. Владимир Мономах. Русская церковь.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Категории рядового и зависимого населения.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Древнерусское право: Русская Правда, церковные уставы.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Письменность. Распространение грамотности, берестяные грамоты.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культура. Ремесло. Военное дело и оружие.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вече и князя.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Новгород и немецкая Ганза.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искусство. Феофан Грек. Андрей Рублев.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аппарата управления единого государства.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Ереси. Геннадиевская Библия. Развитие культуры единого Русского государства.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Архитектура. Русская икона как феномен мирового искусства.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Инквизиция.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У. Шекспир. Стили художественной культуры (барокко, классицизм).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Внешняя политика Московского княжества в первой трети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Поволжья после присоединения к России. Служилые татары.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Правление Бориса Годунова. Учреждение патриаршества.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Оборона Смоленска.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ополчения. Захват Новгорода шведскими войсками. «Совет всея земли». Освобождение Москвы в 1612 г.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с казачьими выступлениями против центральной власти.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Посполитой. Итоги и последствия Смутного времени.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Война между Россией и Речью Посполитой 1654–1667 гг.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Плавание Семена Дежнева. Выход к Тихому океану.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Походы Ерофея Хабарова и Василия Пояркова и исследование бассейна реки Амур.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Поволжья и Сибири. Калмыцкое ханство.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Немецкая слобода как проводник европейского культурного влияния.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Посадская сатира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и Церковь. Секуляризация церковных земель.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политика власти. Меркантилизм.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Декларации независимости (1776).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Казнь короля. Вандея. Политическая борьба в годы республики.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Наполеон Бонапарт. Государственный переворот 18–19 брюмера (ноябрь 1799 г.).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режима консульства. Итоги и значение революции.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Колониальные захваты европейских держав.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«Закрытие» Китая для иноземцев.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Япония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Стрелецкие бунты. Хованщина. Первые шаги на пути преобразований.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Азовские походы. Великое посольство и его значение. Сподвижники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Оппозиция реформам Петра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России империей.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Каспийский поход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Кунсткамера. Светская живопись, портрет петровской эпохи.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Скульптура и архитектура. Памятники раннего барокко.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Дворянского и Купеческого банков.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Секуляризация церковных земель.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Расселение колонистов в Новороссии, Поволжье, других регионах.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восстания на внутреннюю политику и развитие общественной мысли.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Духовенство. Купечество. Крестьянство.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Реформы. Законодательство. Наполеоновские войны.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причины, участники, итоги. А. Линкольн.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Восстановление Юга. Промышленный рост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отношения; латифундизм.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модернизации. Мексиканская революция 1910–1917 гг.: участники, итоги, значение.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«самоусиления».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Восстание «ихэтуаней». Революция 1911–1913 гг. Сунь Ятсен.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Колониальный режим.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Импрессионизм. Модернизм. Смена стилей в архитектуре.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Парижский мир 1856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в 1880–1890-х гг.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Референдум о сохранении СССР и введении поста Президента РСФСР. Избрание Б.Н. Ельцина Президентом РСФСР.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30F3C" w:rsidRPr="00B73AEE" w:rsidSect="00925C4F">
          <w:pgSz w:w="11906" w:h="16383"/>
          <w:pgMar w:top="567" w:right="567" w:bottom="567" w:left="1701" w:header="720" w:footer="720" w:gutter="0"/>
          <w:cols w:space="720"/>
        </w:sectPr>
      </w:pPr>
    </w:p>
    <w:p w:rsidR="00F30F3C" w:rsidRPr="00B73AEE" w:rsidRDefault="00B010C3" w:rsidP="0052063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513347"/>
      <w:bookmarkEnd w:id="2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52063A" w:rsidRDefault="0052063A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30F3C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</w:t>
      </w:r>
      <w:r w:rsid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-9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</w:t>
      </w:r>
      <w:r w:rsid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52063A" w:rsidRDefault="0052063A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2063A" w:rsidRPr="0052063A" w:rsidRDefault="0052063A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адаптированной основной образовательной</w:t>
      </w:r>
      <w:r w:rsidR="00720EC6">
        <w:rPr>
          <w:rFonts w:ascii="Times New Roman" w:hAnsi="Times New Roman" w:cs="Times New Roman"/>
          <w:sz w:val="24"/>
          <w:szCs w:val="24"/>
          <w:lang w:val="ru-RU"/>
        </w:rPr>
        <w:t xml:space="preserve"> программы для слабослышащих обучающихся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 в целом совпадают с личностными результатами, определенными во ФГОС ООО, включают результаты реализации всех предусмотренных программ и структурируются следующим образом: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патриотического воспитания является:</w:t>
      </w:r>
    </w:p>
    <w:p w:rsidR="0052063A" w:rsidRPr="0052063A" w:rsidRDefault="00720EC6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у обучающихся </w:t>
      </w:r>
      <w:r w:rsidR="0052063A"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российской гражданской идентичности: патриотизма, уважения к Отечеству, прошлому и настоящему многонационального народа России;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гражданского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чувство ответственности и долга перед своей семьей, малой и большой Родиной;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активное участие в жизни образовательной организации, местного сообщества;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неприятие любых форм экстремизма, дискриминации;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отношений, готовность к участию в гуманитарной деятельности (волонтерство; помощь людям, нуждающимся в ней);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духовно-нравственного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эстетического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Результатом освоения ценностей научного познания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сформированность мотивации к обучению и целенаправленной познавательной деятельности;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установка на осмысление личного и чужого опыта, наблюдений, поступков.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Результатом физического воспитания, формирования культуры здоровья и эмоционального благополучия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последствий и неприятие вредных привычек (употребления алкоголя, наркотиков, курения) и иных форм вреда для физического и психического здоровья;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правил безопасности, в том числе навыки безопасного поведения в интернет-среде;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умение осознавать эмоциональное состояние себя и других, управлять собственным эмоциональным состоянием;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готовность принимать себя и других, не осуждая; признание своего права на ошибку и такого же права другого человека.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трудового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города);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уважение к труду и результатам трудовой деятельности;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формирование готовности к осознанному построению дальнейшей индивидуальной траектории образования на основе ориентировки в мире профессий и профессиональных предпочтений, уважительного отношения к труду, разнообразного опыта участия в социально значимом труде.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экологического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формирование основ экологической культуры, соответствующей современному уровню экологического мышления, приобретение опыта экологически ориентированной практической деятельности в жизненных ситуациях;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активное неприятие действий, приносящих вред окружающей среде.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результаты, обеспечив</w:t>
      </w:r>
      <w:r w:rsidR="00720E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ающие адаптацию слабослышащего обучающегося </w:t>
      </w: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в том числе умение учиться у других людей;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формирование умений продуктивной коммуникации со сверстниками, детьми старшего и младшего возраста, взрослыми в ходе образовательной, общественно полезной, учебно-исследовательской, творческой и других видов деятельности;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последствия; формулировать и оценивать риски, формировать опыт, уметь находить позитивное в произошедшей ситуации; быть готовым действовать в отсутствие гарантий успеха;</w:t>
      </w:r>
    </w:p>
    <w:p w:rsidR="0052063A" w:rsidRPr="0052063A" w:rsidRDefault="00720EC6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обучающихся</w:t>
      </w:r>
      <w:r w:rsidR="0052063A"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 к осознанию своих дефицитов (в речевом, двигательном, коммуникативном, волевом развитии) и проявление стремления к их преодолению;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способность к саморазвитию и личностному самоопределению, умение ставить достижимые цели и строить реальные жизненные планы.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Значимым личностным результатом освоения АООП ООО </w:t>
      </w:r>
      <w:r w:rsidR="00720EC6">
        <w:rPr>
          <w:rFonts w:ascii="Times New Roman" w:hAnsi="Times New Roman" w:cs="Times New Roman"/>
          <w:sz w:val="24"/>
          <w:szCs w:val="24"/>
          <w:lang w:val="ru-RU"/>
        </w:rPr>
        <w:t xml:space="preserve">слабослышащих обучающихся 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, отражающим результаты освоения коррекционных курсов и Программы воспитания, является </w:t>
      </w: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сформированность социальных (жизненных) компетенций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2063A">
        <w:rPr>
          <w:rFonts w:ascii="Times New Roman" w:hAnsi="Times New Roman" w:cs="Times New Roman"/>
          <w:bCs/>
          <w:sz w:val="24"/>
          <w:szCs w:val="24"/>
          <w:lang w:val="ru-RU"/>
        </w:rPr>
        <w:t>необходимых для решения практико-ориентированных задач и обеспечивающих становление социал</w:t>
      </w:r>
      <w:r w:rsidR="00720EC6">
        <w:rPr>
          <w:rFonts w:ascii="Times New Roman" w:hAnsi="Times New Roman" w:cs="Times New Roman"/>
          <w:bCs/>
          <w:sz w:val="24"/>
          <w:szCs w:val="24"/>
          <w:lang w:val="ru-RU"/>
        </w:rPr>
        <w:t>ьных отношений обучающихся</w:t>
      </w:r>
      <w:r w:rsidRPr="0052063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различных средах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>, в том числе: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>Развитие адекватных представлений о собственных возможностях, о насущно необходимом жизнеобеспечении</w:t>
      </w:r>
      <w:r w:rsidRPr="0052063A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, </w:t>
      </w:r>
      <w:r w:rsidRPr="0052063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проявляющееся: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различать учебные ситуации, в которых они могут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принимать решение в жизненной ситуации на основе переноса полученных в ходе обучения знаний в актуальную ситуацию, восполнять дефицит информации;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находить, отбирать и использовать нужную информацию в соответствии с контекстом жизненной ситуации;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связаться удобным способом и запросить помощь, корректно и точно сформулировав возникшую проблему;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умении оценивать собственные возможности, склонности и интересы.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Овладение социально-бытовыми умениями, используемыми в повседневной жизни, 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>проявляющееся:</w:t>
      </w: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готовности брать на себя инициативу в повседневных бытовых делах и нести ответственность за результат своей работы;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lastRenderedPageBreak/>
        <w:t>в стремлении овладевать необходимыми умениями и ориентироваться в актуальных социальных реалиях (ложная реклама, недостоверная информация, опасные интернет-сайты; качество товаров и продуктов питания и т.п.);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ориентироваться в требованиях и правилах проведения промежуточной и итоговой аттестации;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применении в повседневной жизни правил личной безопасности.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</w:t>
      </w:r>
      <w:r w:rsidRPr="0052063A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, </w:t>
      </w:r>
      <w:r w:rsidRPr="0052063A">
        <w:rPr>
          <w:rFonts w:ascii="Times New Roman" w:hAnsi="Times New Roman" w:cs="Times New Roman"/>
          <w:bCs/>
          <w:sz w:val="24"/>
          <w:szCs w:val="24"/>
          <w:lang w:val="ru-RU"/>
        </w:rPr>
        <w:t>проявляющееся:</w:t>
      </w: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обогащении опыта коммуникации подростка, расширении коммуникативного репертуара и гибкости общения в соответствии с контекстом социально-коммуникативной ситуации;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использовать коммуникацию как средство достижения цели;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критически оценивать полученную от собеседника информацию;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освоении культурных форм выражения своих чувств, мыслей, потребностей;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умении передать свои впечатления, соображения, умозаключения так, чтобы быть понятым другим человеком.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Развитие способности к осмыслению и дифференциации картины мира, ее пространственно-временной организации, 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>проявляющейся: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углублении представлений о целостной и подробной картине мира, упорядоченной в пространстве и времени, адекватной возрасту обучающегося;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развитии активной личностной позиции во взаимодействии с миром, понимании собственной результативности и умении адекватно оценить свои достижения;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принимать и включать в свой личный опыт жизненный опыт других людей, исключая асоциальные проявления;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адекватности поведения обучающегося с точки зрения опасности или безопасности для себя или для окружающих;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овладении основами финансовой и правовой грамотности.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>Развитие способности к осмыслению социального окружения, своего места в нем, принятие соответствующих возрасту ценностей и социальных ролей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, проявляющейся: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регулировать свое поведение и эмоциональные реакции в разных социальных ситуациях с людьми разного статуса;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освоении необходимых социальных ритуалов в ситуациях необходимости корректно привлечь к себе внимание, отстраниться от нежелательного контакта, выразить свои чувства, отказ, недовольство, сочувствие, намерение, опасение и др.;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соблюдении адекватной социальной дистанции в разных коммуникативных ситуациях;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корректно устанавливать и ограничивать контакт в зависимости от социальной ситуации; </w:t>
      </w:r>
    </w:p>
    <w:p w:rsidR="00F30F3C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умении распознавать и противостоять психологической манипуляции, социально неблагоприятному воздействию.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2063A" w:rsidRDefault="0052063A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063A" w:rsidRPr="0052063A" w:rsidRDefault="0052063A" w:rsidP="005206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2063A">
        <w:rPr>
          <w:rFonts w:ascii="Times New Roman" w:eastAsia="Times New Roman" w:hAnsi="Times New Roman"/>
          <w:sz w:val="24"/>
          <w:szCs w:val="24"/>
          <w:lang w:val="ru-RU" w:eastAsia="ru-RU"/>
        </w:rPr>
        <w:t>Метапредметные результаты освоения адаптированной основной образовательной программы основного обще</w:t>
      </w:r>
      <w:r w:rsidR="00720EC6">
        <w:rPr>
          <w:rFonts w:ascii="Times New Roman" w:eastAsia="Times New Roman" w:hAnsi="Times New Roman"/>
          <w:sz w:val="24"/>
          <w:szCs w:val="24"/>
          <w:lang w:val="ru-RU" w:eastAsia="ru-RU"/>
        </w:rPr>
        <w:t>го образования обучающихся</w:t>
      </w:r>
      <w:r w:rsidRPr="0052063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достигаются аккумулированием результатов всех составляющих данной программы.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У </w:t>
      </w:r>
      <w:r w:rsidR="00720EC6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слабослыащих обучающихся 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 могут быть в различной степени сформированы следующие виды </w:t>
      </w:r>
      <w:r w:rsidRPr="0052063A">
        <w:rPr>
          <w:rFonts w:ascii="Times New Roman" w:eastAsiaTheme="minorEastAsia" w:hAnsi="Times New Roman"/>
          <w:b/>
          <w:bCs/>
          <w:iCs/>
          <w:sz w:val="24"/>
          <w:szCs w:val="24"/>
          <w:lang w:val="ru-RU" w:eastAsia="ru-RU"/>
        </w:rPr>
        <w:t>универсальных учебных познавательных действий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: 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Базовые логические действия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 xml:space="preserve">выявлять и характеризовать существенные признаки объектов (явлений); 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определять понятия, обобщать, устанавливать аналогии, классифицировать, в том числе самостоятельно выбирая основания и критерии для классификации, логически рассуждать, приходить к умозаключению (индуктивному, дедуктивному и по аналогии) и делать общие выводы;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 xml:space="preserve">устанавливать причинно-следственные связи при изучении явлений и процессов; 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подходящий);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создавать, применять и преобразовывать</w:t>
      </w:r>
      <w:r w:rsidRPr="0052063A">
        <w:rPr>
          <w:rFonts w:ascii="Times New Roman" w:eastAsia="Times New Roman" w:hAnsi="Times New Roman"/>
          <w:sz w:val="24"/>
          <w:szCs w:val="24"/>
          <w:lang w:val="ru-RU"/>
        </w:rPr>
        <w:t xml:space="preserve"> знаки и символы, модели и схемы для решения учебных и познавательных задач.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Базовые исследовательские действия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использовать вопросы как инструмент познания;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устанавливать искомое и данное, опираясь на полученные ответы на вопросы либо самостоятельно;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аргументировать свою позицию, мнение;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 помощью педагога проводить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 помощью педагога или самостоятельно формулировать обобщения и выводы по результатам проведенного наблюдения, опыта, исследования;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прогнозировать возможное развитие процессов, событий и их последствия.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Работа с информацией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пользоваться словарями и другими поисковыми системами;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 xml:space="preserve">искать или отбирать информацию или данные из источников с учетом предложенной учебной задачи и заданных критериев; 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понимать и интерпретировать информацию различных видов и форм представления;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иллюстрировать решаемые задачи несложными схемами;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эффективно запоминать и систематизировать информацию;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целей, для решения учебных и познавательных задач.</w:t>
      </w:r>
    </w:p>
    <w:p w:rsidR="0052063A" w:rsidRPr="0052063A" w:rsidRDefault="00720EC6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У обучающихся </w:t>
      </w:r>
      <w:r w:rsidR="0052063A"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 могут быть в различной степени сформированы следующие виды </w:t>
      </w:r>
      <w:r w:rsidR="0052063A" w:rsidRPr="0052063A">
        <w:rPr>
          <w:rFonts w:ascii="Times New Roman" w:eastAsiaTheme="minorEastAsia" w:hAnsi="Times New Roman"/>
          <w:b/>
          <w:bCs/>
          <w:iCs/>
          <w:sz w:val="24"/>
          <w:szCs w:val="24"/>
          <w:lang w:val="ru-RU" w:eastAsia="ru-RU"/>
        </w:rPr>
        <w:t>универсальных учебных коммуникативных действий</w:t>
      </w:r>
      <w:r w:rsidR="0052063A"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: 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Общение: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 xml:space="preserve">выражать свою точку зрения в устных и письменных текстах в том числе с использованием информационно-коммуникационных технологий; 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распознавать невербальные средства общения, прогнозировать возможные конфликтные ситуации, смягчая конфликты;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Совместная деятельность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 (сотрудничество):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оценивать качество своего вклада в общий продукт;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принимать и разделять ответственность и проявлять готовность к предоставлению отчета перед группой.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У </w:t>
      </w:r>
      <w:r w:rsidR="00720EC6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слабослышащих обучающихся </w:t>
      </w:r>
      <w:bookmarkStart w:id="4" w:name="_GoBack"/>
      <w:bookmarkEnd w:id="4"/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 формируются следующие виды </w:t>
      </w:r>
      <w:r w:rsidRPr="0052063A">
        <w:rPr>
          <w:rFonts w:ascii="Times New Roman" w:eastAsiaTheme="minorEastAsia" w:hAnsi="Times New Roman"/>
          <w:b/>
          <w:bCs/>
          <w:iCs/>
          <w:sz w:val="24"/>
          <w:szCs w:val="24"/>
          <w:lang w:val="ru-RU" w:eastAsia="ru-RU"/>
        </w:rPr>
        <w:t>универсальных учебных регулятивных действий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: 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Самоорганизация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самостоятельно составлять план предстоящей деятельности и следовать ему;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lastRenderedPageBreak/>
        <w:t>самостоятельно (или с помощью педагога/родителя) определять цели своего обучения, ставить и формулировать для себя новые задачи в учебе и познавательной деятельности;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Самоконтроль</w:t>
      </w:r>
      <w:r w:rsidRPr="0052063A">
        <w:rPr>
          <w:rFonts w:ascii="Times New Roman" w:eastAsiaTheme="minorEastAsia" w:hAnsi="Times New Roman"/>
          <w:bCs/>
          <w:i/>
          <w:iCs/>
          <w:sz w:val="24"/>
          <w:szCs w:val="24"/>
          <w:lang w:val="ru-RU" w:eastAsia="ru-RU"/>
        </w:rPr>
        <w:t xml:space="preserve"> 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(рефлексия):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оценивать правильность выполнения учебной задачи, собственные возможности ее решения;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i/>
          <w:sz w:val="24"/>
          <w:szCs w:val="24"/>
          <w:lang w:val="ru-RU" w:eastAsia="ru-RU"/>
        </w:rPr>
        <w:t>Эмоциональный интеллект</w:t>
      </w:r>
      <w:r w:rsidRPr="0052063A">
        <w:rPr>
          <w:rFonts w:ascii="Times New Roman" w:eastAsiaTheme="minorEastAsia" w:hAnsi="Times New Roman"/>
          <w:b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различать и называть эмоции, стараться управлять собственными эмоциями;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анализировать причины эмоций;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регулировать способ выражения эмоций.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i/>
          <w:sz w:val="24"/>
          <w:szCs w:val="24"/>
          <w:lang w:val="ru-RU" w:eastAsia="ru-RU"/>
        </w:rPr>
        <w:t>Принятие себя и других</w:t>
      </w:r>
      <w:r w:rsidRPr="0052063A">
        <w:rPr>
          <w:rFonts w:ascii="Times New Roman" w:eastAsiaTheme="minorEastAsia" w:hAnsi="Times New Roman"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осознанно относиться к другому человеку, его мнению;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осознавать невозможность контролировать все вокруг.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универсальных учебных регулятивных действий: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30F3C" w:rsidRPr="00B73AEE" w:rsidRDefault="00B010C3" w:rsidP="00B73A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30F3C" w:rsidRPr="00B73AEE" w:rsidRDefault="00B010C3" w:rsidP="00B73A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30F3C" w:rsidRPr="00B73AEE" w:rsidRDefault="00B010C3" w:rsidP="00B73A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30F3C" w:rsidRPr="00B73AEE" w:rsidRDefault="00B010C3" w:rsidP="00B73A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30F3C" w:rsidRPr="00B73AEE" w:rsidRDefault="00B010C3" w:rsidP="00B73A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30F3C" w:rsidRPr="00B73AEE" w:rsidRDefault="00B010C3" w:rsidP="00B73A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F30F3C" w:rsidRPr="00B73AEE" w:rsidRDefault="00B010C3" w:rsidP="00B73A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F30F3C" w:rsidRPr="00B73AEE" w:rsidRDefault="00B010C3" w:rsidP="00B73A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30F3C" w:rsidRPr="00B73AEE" w:rsidRDefault="00B010C3" w:rsidP="00B73A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и следствия важнейших событий древней истории.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30F3C" w:rsidRPr="00B73AEE" w:rsidRDefault="00B010C3" w:rsidP="00B73A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30F3C" w:rsidRPr="00B73AEE" w:rsidRDefault="00B010C3" w:rsidP="00B73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30F3C" w:rsidRPr="00B73AEE" w:rsidRDefault="00B010C3" w:rsidP="00B73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30F3C" w:rsidRPr="00B73AEE" w:rsidRDefault="00B010C3" w:rsidP="00B73AE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30F3C" w:rsidRPr="00B73AEE" w:rsidRDefault="00B010C3" w:rsidP="00B73A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30F3C" w:rsidRPr="00B73AEE" w:rsidRDefault="00B010C3" w:rsidP="00B73A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30F3C" w:rsidRPr="00B73AEE" w:rsidRDefault="00B010C3" w:rsidP="00B73A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30F3C" w:rsidRPr="00B73AEE" w:rsidRDefault="00B010C3" w:rsidP="00B73A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30F3C" w:rsidRPr="00B73AEE" w:rsidRDefault="00B010C3" w:rsidP="00B73A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30F3C" w:rsidRPr="00B73AEE" w:rsidRDefault="00B010C3" w:rsidP="00B73A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30F3C" w:rsidRPr="00B73AEE" w:rsidRDefault="00B010C3" w:rsidP="00B73A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30F3C" w:rsidRPr="00B73AEE" w:rsidRDefault="00B010C3" w:rsidP="00B73A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30F3C" w:rsidRPr="00B73AEE" w:rsidRDefault="00B010C3" w:rsidP="00B73A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30F3C" w:rsidRPr="00B73AEE" w:rsidRDefault="00B010C3" w:rsidP="00B73A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F30F3C" w:rsidRPr="00B73AEE" w:rsidRDefault="00B010C3" w:rsidP="00B73A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F30F3C" w:rsidRPr="00B73AEE" w:rsidRDefault="00B010C3" w:rsidP="00B73AE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F30F3C" w:rsidRPr="00B73AEE" w:rsidRDefault="00B010C3" w:rsidP="00B73AE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30F3C" w:rsidRPr="00B73AEE" w:rsidRDefault="00B010C3" w:rsidP="00B73AE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30F3C" w:rsidRPr="00B73AEE" w:rsidRDefault="00B010C3" w:rsidP="00B73AE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30F3C" w:rsidRPr="00B73AEE" w:rsidRDefault="00B010C3" w:rsidP="00B73AE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F30F3C" w:rsidRPr="00B73AEE" w:rsidRDefault="00B010C3" w:rsidP="00B73AE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F30F3C" w:rsidRPr="00B73AEE" w:rsidRDefault="00B010C3" w:rsidP="00B73AE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30F3C" w:rsidRPr="00B73AEE" w:rsidRDefault="00B010C3" w:rsidP="00B73AE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30F3C" w:rsidRPr="00B73AEE" w:rsidRDefault="00B010C3" w:rsidP="00B73AE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F30F3C" w:rsidRPr="00B73AEE" w:rsidRDefault="00B010C3" w:rsidP="00B73AE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30F3C" w:rsidRPr="00B14C73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4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30F3C" w:rsidRPr="00B14C73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F30F3C" w:rsidRPr="00B73AEE" w:rsidRDefault="00B010C3" w:rsidP="00B73AE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30F3C" w:rsidRPr="00B73AEE" w:rsidRDefault="00B010C3" w:rsidP="00B73AE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30F3C" w:rsidRPr="00B73AEE" w:rsidRDefault="00B010C3" w:rsidP="00B73AE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извлекать, сопоставлять и систематизировать информацию о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F30F3C" w:rsidRPr="00B73AEE" w:rsidRDefault="00B010C3" w:rsidP="00B73AE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F30F3C" w:rsidRPr="00B73AEE" w:rsidRDefault="00B010C3" w:rsidP="00B73AE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F30F3C" w:rsidRPr="00B73AEE" w:rsidRDefault="00B010C3" w:rsidP="00B73AE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F30F3C" w:rsidRPr="00B73AEE" w:rsidRDefault="00B010C3" w:rsidP="00B73AE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30F3C" w:rsidRPr="00B73AEE" w:rsidRDefault="00B010C3" w:rsidP="00B73AE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систематические таблицы;</w:t>
      </w:r>
    </w:p>
    <w:p w:rsidR="00F30F3C" w:rsidRPr="00B73AEE" w:rsidRDefault="00B010C3" w:rsidP="00B73AE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30F3C" w:rsidRPr="00B73AEE" w:rsidRDefault="00B010C3" w:rsidP="00B73AE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30F3C" w:rsidRPr="00B73AEE" w:rsidRDefault="00B010C3" w:rsidP="00B73AE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F30F3C" w:rsidRPr="00B73AEE" w:rsidRDefault="00B010C3" w:rsidP="00B73AE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30F3C" w:rsidRPr="00B73AEE" w:rsidRDefault="00B010C3" w:rsidP="00B73AE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F30F3C" w:rsidRPr="00B73AEE" w:rsidRDefault="00B010C3" w:rsidP="00B73AE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F30F3C" w:rsidRPr="00B73AEE" w:rsidRDefault="00B010C3" w:rsidP="00B73AE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F30F3C" w:rsidRPr="00B73AEE" w:rsidRDefault="00B010C3" w:rsidP="00B73AE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30F3C" w:rsidRPr="00B73AEE" w:rsidRDefault="00B010C3" w:rsidP="00B73AE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30F3C" w:rsidRPr="00B73AEE" w:rsidRDefault="00B010C3" w:rsidP="00B73AE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F30F3C" w:rsidRPr="00B73AEE" w:rsidRDefault="00B010C3" w:rsidP="00B73AE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30F3C" w:rsidRPr="00B73AEE" w:rsidRDefault="00B010C3" w:rsidP="00B73AE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30F3C" w:rsidRPr="00B73AEE" w:rsidSect="00B73AEE">
          <w:pgSz w:w="11906" w:h="16383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2513343"/>
      <w:bookmarkEnd w:id="3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3050"/>
      </w:tblGrid>
      <w:tr w:rsidR="00F30F3C" w:rsidRPr="00B73A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3050"/>
      </w:tblGrid>
      <w:tr w:rsidR="00F30F3C" w:rsidRPr="00B73AE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3036"/>
      </w:tblGrid>
      <w:tr w:rsidR="00F30F3C" w:rsidRPr="00B73A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14C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14C73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Конец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3050"/>
      </w:tblGrid>
      <w:tr w:rsidR="00F30F3C" w:rsidRPr="00B73A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14C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14C73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3036"/>
      </w:tblGrid>
      <w:tr w:rsidR="00F30F3C" w:rsidRPr="00B73AE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14C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14C73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 — начало ХХ в.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720E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513344"/>
      <w:bookmarkEnd w:id="5"/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338"/>
        <w:gridCol w:w="959"/>
        <w:gridCol w:w="1841"/>
        <w:gridCol w:w="1910"/>
        <w:gridCol w:w="624"/>
        <w:gridCol w:w="48"/>
        <w:gridCol w:w="24"/>
        <w:gridCol w:w="12"/>
        <w:gridCol w:w="639"/>
        <w:gridCol w:w="3583"/>
      </w:tblGrid>
      <w:tr w:rsidR="00B73AEE" w:rsidRPr="00B73AEE" w:rsidTr="00B73AEE">
        <w:trPr>
          <w:trHeight w:val="144"/>
          <w:tblCellSpacing w:w="20" w:type="nil"/>
        </w:trPr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39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68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династии Хань.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321"/>
        <w:gridCol w:w="1841"/>
        <w:gridCol w:w="1910"/>
        <w:gridCol w:w="624"/>
        <w:gridCol w:w="24"/>
        <w:gridCol w:w="24"/>
        <w:gridCol w:w="675"/>
        <w:gridCol w:w="3103"/>
      </w:tblGrid>
      <w:tr w:rsidR="00B73AEE" w:rsidRPr="00B73AEE" w:rsidTr="00B73AEE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52063A">
        <w:trPr>
          <w:trHeight w:val="37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9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305"/>
        <w:gridCol w:w="1841"/>
        <w:gridCol w:w="1910"/>
        <w:gridCol w:w="648"/>
        <w:gridCol w:w="12"/>
        <w:gridCol w:w="36"/>
        <w:gridCol w:w="12"/>
        <w:gridCol w:w="639"/>
        <w:gridCol w:w="3103"/>
      </w:tblGrid>
      <w:tr w:rsidR="00B73AEE" w:rsidRPr="00B73AEE" w:rsidTr="00B73AE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52063A">
        <w:trPr>
          <w:trHeight w:val="39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68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княжества в первой трети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91"/>
        <w:gridCol w:w="1341"/>
        <w:gridCol w:w="1841"/>
        <w:gridCol w:w="1910"/>
        <w:gridCol w:w="600"/>
        <w:gridCol w:w="12"/>
        <w:gridCol w:w="12"/>
        <w:gridCol w:w="48"/>
        <w:gridCol w:w="36"/>
        <w:gridCol w:w="639"/>
        <w:gridCol w:w="3103"/>
      </w:tblGrid>
      <w:tr w:rsidR="00B73AEE" w:rsidRPr="00B73AEE" w:rsidTr="00B73AEE">
        <w:trPr>
          <w:trHeight w:val="144"/>
          <w:tblCellSpacing w:w="20" w:type="nil"/>
        </w:trPr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3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3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России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77"/>
        <w:gridCol w:w="1841"/>
        <w:gridCol w:w="1910"/>
        <w:gridCol w:w="672"/>
        <w:gridCol w:w="36"/>
        <w:gridCol w:w="639"/>
        <w:gridCol w:w="3090"/>
      </w:tblGrid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52063A">
        <w:trPr>
          <w:trHeight w:val="4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2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Марксизм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720EC6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2513345"/>
      <w:bookmarkEnd w:id="6"/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B73AEE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1906" w:h="16383"/>
          <w:pgMar w:top="567" w:right="567" w:bottom="567" w:left="567" w:header="720" w:footer="720" w:gutter="0"/>
          <w:cols w:space="720"/>
        </w:sectPr>
      </w:pPr>
    </w:p>
    <w:bookmarkEnd w:id="7"/>
    <w:p w:rsidR="00B010C3" w:rsidRPr="00B73AEE" w:rsidRDefault="00B010C3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10C3" w:rsidRPr="00B73AEE" w:rsidSect="00B73AEE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50E"/>
    <w:multiLevelType w:val="multilevel"/>
    <w:tmpl w:val="0C080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E2670E"/>
    <w:multiLevelType w:val="multilevel"/>
    <w:tmpl w:val="A36E5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907FC6"/>
    <w:multiLevelType w:val="multilevel"/>
    <w:tmpl w:val="6C0A5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3E5F12"/>
    <w:multiLevelType w:val="multilevel"/>
    <w:tmpl w:val="2458B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45457F"/>
    <w:multiLevelType w:val="multilevel"/>
    <w:tmpl w:val="A2148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58A3F57"/>
    <w:multiLevelType w:val="multilevel"/>
    <w:tmpl w:val="76122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EA1841"/>
    <w:multiLevelType w:val="multilevel"/>
    <w:tmpl w:val="7BC22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EB1CDA"/>
    <w:multiLevelType w:val="multilevel"/>
    <w:tmpl w:val="0FE64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916DD8"/>
    <w:multiLevelType w:val="multilevel"/>
    <w:tmpl w:val="A2483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36A7C"/>
    <w:multiLevelType w:val="multilevel"/>
    <w:tmpl w:val="B65ED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1B44F71"/>
    <w:multiLevelType w:val="multilevel"/>
    <w:tmpl w:val="C9A66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4A4319"/>
    <w:multiLevelType w:val="multilevel"/>
    <w:tmpl w:val="ABD0E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7072F2"/>
    <w:multiLevelType w:val="multilevel"/>
    <w:tmpl w:val="12221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6CA0143"/>
    <w:multiLevelType w:val="multilevel"/>
    <w:tmpl w:val="1764C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ABD0CAD"/>
    <w:multiLevelType w:val="multilevel"/>
    <w:tmpl w:val="0BEEF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3646D16"/>
    <w:multiLevelType w:val="multilevel"/>
    <w:tmpl w:val="72EE9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A11065"/>
    <w:multiLevelType w:val="multilevel"/>
    <w:tmpl w:val="65E20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E8726F"/>
    <w:multiLevelType w:val="multilevel"/>
    <w:tmpl w:val="CD42D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2C27D9"/>
    <w:multiLevelType w:val="multilevel"/>
    <w:tmpl w:val="B4186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A14A97"/>
    <w:multiLevelType w:val="multilevel"/>
    <w:tmpl w:val="68EC9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91BE5"/>
    <w:multiLevelType w:val="multilevel"/>
    <w:tmpl w:val="ABA8C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D85039"/>
    <w:multiLevelType w:val="multilevel"/>
    <w:tmpl w:val="E6C0D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153B99"/>
    <w:multiLevelType w:val="multilevel"/>
    <w:tmpl w:val="1A8E0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101453"/>
    <w:multiLevelType w:val="multilevel"/>
    <w:tmpl w:val="C4A20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096447"/>
    <w:multiLevelType w:val="multilevel"/>
    <w:tmpl w:val="71AC4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5426FA"/>
    <w:multiLevelType w:val="multilevel"/>
    <w:tmpl w:val="DAACA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5348F2"/>
    <w:multiLevelType w:val="multilevel"/>
    <w:tmpl w:val="4B86E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935B35"/>
    <w:multiLevelType w:val="multilevel"/>
    <w:tmpl w:val="94368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B46371"/>
    <w:multiLevelType w:val="multilevel"/>
    <w:tmpl w:val="729A0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3B0CC8"/>
    <w:multiLevelType w:val="multilevel"/>
    <w:tmpl w:val="2B165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6618B5"/>
    <w:multiLevelType w:val="multilevel"/>
    <w:tmpl w:val="1CD44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5E566F"/>
    <w:multiLevelType w:val="multilevel"/>
    <w:tmpl w:val="35E2A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11268C"/>
    <w:multiLevelType w:val="multilevel"/>
    <w:tmpl w:val="F0941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DC1F49"/>
    <w:multiLevelType w:val="multilevel"/>
    <w:tmpl w:val="E18E8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D904D9"/>
    <w:multiLevelType w:val="multilevel"/>
    <w:tmpl w:val="5596F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252ABD"/>
    <w:multiLevelType w:val="multilevel"/>
    <w:tmpl w:val="7C4A8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711448"/>
    <w:multiLevelType w:val="hybridMultilevel"/>
    <w:tmpl w:val="9CFAC686"/>
    <w:lvl w:ilvl="0" w:tplc="39200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3096B"/>
    <w:multiLevelType w:val="multilevel"/>
    <w:tmpl w:val="1ABCD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EE91652"/>
    <w:multiLevelType w:val="multilevel"/>
    <w:tmpl w:val="130E5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29"/>
  </w:num>
  <w:num w:numId="4">
    <w:abstractNumId w:val="5"/>
  </w:num>
  <w:num w:numId="5">
    <w:abstractNumId w:val="3"/>
  </w:num>
  <w:num w:numId="6">
    <w:abstractNumId w:val="23"/>
  </w:num>
  <w:num w:numId="7">
    <w:abstractNumId w:val="25"/>
  </w:num>
  <w:num w:numId="8">
    <w:abstractNumId w:val="15"/>
  </w:num>
  <w:num w:numId="9">
    <w:abstractNumId w:val="19"/>
  </w:num>
  <w:num w:numId="10">
    <w:abstractNumId w:val="27"/>
  </w:num>
  <w:num w:numId="11">
    <w:abstractNumId w:val="1"/>
  </w:num>
  <w:num w:numId="12">
    <w:abstractNumId w:val="9"/>
  </w:num>
  <w:num w:numId="13">
    <w:abstractNumId w:val="34"/>
  </w:num>
  <w:num w:numId="14">
    <w:abstractNumId w:val="20"/>
  </w:num>
  <w:num w:numId="15">
    <w:abstractNumId w:val="32"/>
  </w:num>
  <w:num w:numId="16">
    <w:abstractNumId w:val="13"/>
  </w:num>
  <w:num w:numId="17">
    <w:abstractNumId w:val="33"/>
  </w:num>
  <w:num w:numId="18">
    <w:abstractNumId w:val="28"/>
  </w:num>
  <w:num w:numId="19">
    <w:abstractNumId w:val="16"/>
  </w:num>
  <w:num w:numId="20">
    <w:abstractNumId w:val="12"/>
  </w:num>
  <w:num w:numId="21">
    <w:abstractNumId w:val="30"/>
  </w:num>
  <w:num w:numId="22">
    <w:abstractNumId w:val="6"/>
  </w:num>
  <w:num w:numId="23">
    <w:abstractNumId w:val="39"/>
  </w:num>
  <w:num w:numId="24">
    <w:abstractNumId w:val="11"/>
  </w:num>
  <w:num w:numId="25">
    <w:abstractNumId w:val="0"/>
  </w:num>
  <w:num w:numId="26">
    <w:abstractNumId w:val="4"/>
  </w:num>
  <w:num w:numId="27">
    <w:abstractNumId w:val="36"/>
  </w:num>
  <w:num w:numId="28">
    <w:abstractNumId w:val="31"/>
  </w:num>
  <w:num w:numId="29">
    <w:abstractNumId w:val="26"/>
  </w:num>
  <w:num w:numId="30">
    <w:abstractNumId w:val="22"/>
  </w:num>
  <w:num w:numId="31">
    <w:abstractNumId w:val="24"/>
  </w:num>
  <w:num w:numId="32">
    <w:abstractNumId w:val="38"/>
  </w:num>
  <w:num w:numId="33">
    <w:abstractNumId w:val="2"/>
  </w:num>
  <w:num w:numId="34">
    <w:abstractNumId w:val="35"/>
  </w:num>
  <w:num w:numId="35">
    <w:abstractNumId w:val="7"/>
  </w:num>
  <w:num w:numId="36">
    <w:abstractNumId w:val="21"/>
  </w:num>
  <w:num w:numId="37">
    <w:abstractNumId w:val="18"/>
  </w:num>
  <w:num w:numId="38">
    <w:abstractNumId w:val="14"/>
  </w:num>
  <w:num w:numId="39">
    <w:abstractNumId w:val="37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3C"/>
    <w:rsid w:val="000F16ED"/>
    <w:rsid w:val="0031579A"/>
    <w:rsid w:val="00374CEE"/>
    <w:rsid w:val="0052063A"/>
    <w:rsid w:val="00560114"/>
    <w:rsid w:val="00655969"/>
    <w:rsid w:val="006D59BB"/>
    <w:rsid w:val="00720EC6"/>
    <w:rsid w:val="00925C4F"/>
    <w:rsid w:val="009E06C6"/>
    <w:rsid w:val="00B010C3"/>
    <w:rsid w:val="00B14C73"/>
    <w:rsid w:val="00B73AEE"/>
    <w:rsid w:val="00F3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18888"/>
  <w15:docId w15:val="{59DD6FAC-467B-42B3-B87C-A9A67021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26537</Words>
  <Characters>151262</Characters>
  <Application>Microsoft Office Word</Application>
  <DocSecurity>0</DocSecurity>
  <Lines>1260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school</cp:lastModifiedBy>
  <cp:revision>10</cp:revision>
  <dcterms:created xsi:type="dcterms:W3CDTF">2023-10-08T10:00:00Z</dcterms:created>
  <dcterms:modified xsi:type="dcterms:W3CDTF">2024-10-31T05:47:00Z</dcterms:modified>
</cp:coreProperties>
</file>